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4AFF7" w14:textId="77777777" w:rsidR="00EC2070" w:rsidRDefault="00EC2070" w:rsidP="00EC2070">
      <w:pPr>
        <w:pStyle w:val="NoSpacing"/>
        <w:jc w:val="center"/>
        <w:rPr>
          <w:lang w:val="sr-Cyrl-CS"/>
        </w:rPr>
      </w:pPr>
      <w:r w:rsidRPr="008E73BA">
        <w:t>ИЗЈАВ</w:t>
      </w:r>
      <w:r w:rsidRPr="008E73BA">
        <w:rPr>
          <w:lang w:val="sr-Cyrl-CS"/>
        </w:rPr>
        <w:t>А</w:t>
      </w:r>
    </w:p>
    <w:p w14:paraId="081CC211" w14:textId="171797FB" w:rsidR="00EC2070" w:rsidRPr="008E73BA" w:rsidRDefault="00EC2070" w:rsidP="00EC2070">
      <w:pPr>
        <w:autoSpaceDE w:val="0"/>
        <w:autoSpaceDN w:val="0"/>
        <w:jc w:val="center"/>
        <w:rPr>
          <w:lang w:val="sr-Cyrl-CS"/>
        </w:rPr>
      </w:pPr>
      <w:r w:rsidRPr="008E73BA">
        <w:t xml:space="preserve"> О УСКЛАЂЕНОСТИ </w:t>
      </w:r>
      <w:r w:rsidR="001D2FD9">
        <w:rPr>
          <w:lang w:val="sr-Cyrl-CS"/>
        </w:rPr>
        <w:t>ПРЕДЛОГА</w:t>
      </w:r>
      <w:bookmarkStart w:id="0" w:name="_GoBack"/>
      <w:bookmarkEnd w:id="0"/>
      <w:r>
        <w:rPr>
          <w:lang w:val="sr-Cyrl-CS"/>
        </w:rPr>
        <w:t xml:space="preserve"> ЗАКОНА О </w:t>
      </w:r>
      <w:r w:rsidRPr="00093825">
        <w:rPr>
          <w:lang w:val="sr-Cyrl-CS"/>
        </w:rPr>
        <w:t>ПОСЕБНИМ УСЛОВИМА ЗА ЕВИДЕНТИРАЊЕ И УПИС ПРАВА НА НЕПОКРЕТНОСТИМА</w:t>
      </w:r>
    </w:p>
    <w:p w14:paraId="524DCAF6" w14:textId="77777777" w:rsidR="00EC2070" w:rsidRPr="0081718F" w:rsidRDefault="00EC2070" w:rsidP="00EC2070">
      <w:pPr>
        <w:pStyle w:val="FootnoteText"/>
        <w:spacing w:line="240" w:lineRule="auto"/>
        <w:rPr>
          <w:lang w:val="sr-Cyrl-CS"/>
        </w:rPr>
      </w:pPr>
    </w:p>
    <w:p w14:paraId="0D700F78" w14:textId="2122574A" w:rsidR="00EC2070" w:rsidRPr="00B15033" w:rsidRDefault="00EC2070" w:rsidP="00EC2070">
      <w:pPr>
        <w:jc w:val="both"/>
        <w:rPr>
          <w:lang w:val="sr-Cyrl-RS"/>
        </w:rPr>
      </w:pPr>
      <w:r>
        <w:rPr>
          <w:lang w:val="sr-Latn-RS"/>
        </w:rPr>
        <w:t xml:space="preserve">1.  </w:t>
      </w:r>
      <w:r w:rsidRPr="0081718F">
        <w:rPr>
          <w:lang w:val="sr-Cyrl-CS"/>
        </w:rPr>
        <w:t xml:space="preserve">Орган државне управе, односно други овлашћени предлагач прописа </w:t>
      </w:r>
      <w:r w:rsidR="00B15033">
        <w:rPr>
          <w:lang w:val="sr-Cyrl-RS"/>
        </w:rPr>
        <w:t>- Влада</w:t>
      </w:r>
    </w:p>
    <w:p w14:paraId="1F0E28BE" w14:textId="3D52BEB7" w:rsidR="00EC2070" w:rsidRPr="0081718F" w:rsidRDefault="00B15033" w:rsidP="00EC2070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Обрађивач - </w:t>
      </w:r>
      <w:r w:rsidR="00EC2070">
        <w:rPr>
          <w:lang w:val="sr-Cyrl-CS"/>
        </w:rPr>
        <w:t>Министарство грађевинарства, саобраћаја и инфраструктуре</w:t>
      </w:r>
    </w:p>
    <w:p w14:paraId="7D3DB2B3" w14:textId="77777777" w:rsidR="00EC2070" w:rsidRPr="0081718F" w:rsidRDefault="00EC2070" w:rsidP="00EC2070">
      <w:pPr>
        <w:jc w:val="both"/>
      </w:pPr>
    </w:p>
    <w:p w14:paraId="42FD6747" w14:textId="77777777" w:rsidR="00EC2070" w:rsidRDefault="00EC2070" w:rsidP="00EC2070">
      <w:pPr>
        <w:jc w:val="both"/>
        <w:rPr>
          <w:lang w:val="sr-Cyrl-CS"/>
        </w:rPr>
      </w:pPr>
      <w:r>
        <w:t xml:space="preserve">2.  </w:t>
      </w:r>
      <w:r w:rsidRPr="0081718F">
        <w:t xml:space="preserve">Назив </w:t>
      </w:r>
      <w:r w:rsidRPr="0081718F">
        <w:rPr>
          <w:lang w:val="sr-Cyrl-CS"/>
        </w:rPr>
        <w:t>прописа</w:t>
      </w:r>
    </w:p>
    <w:p w14:paraId="0E6FD827" w14:textId="12D410E4" w:rsidR="00EC2070" w:rsidRPr="00CA53B3" w:rsidRDefault="00B15033" w:rsidP="00B15033">
      <w:pPr>
        <w:autoSpaceDE w:val="0"/>
        <w:autoSpaceDN w:val="0"/>
        <w:ind w:firstLine="708"/>
        <w:jc w:val="both"/>
        <w:rPr>
          <w:color w:val="000000"/>
          <w:lang w:val="sr-Cyrl-CS"/>
        </w:rPr>
      </w:pPr>
      <w:r>
        <w:rPr>
          <w:color w:val="000000"/>
          <w:lang w:val="sr-Cyrl-RS"/>
        </w:rPr>
        <w:t>Предлог</w:t>
      </w:r>
      <w:r w:rsidR="00EC2070">
        <w:rPr>
          <w:color w:val="000000"/>
          <w:lang w:val="sr-Cyrl-RS"/>
        </w:rPr>
        <w:t xml:space="preserve"> закона о </w:t>
      </w:r>
      <w:r w:rsidR="00EC2070" w:rsidRPr="00EC2070">
        <w:rPr>
          <w:color w:val="000000"/>
          <w:lang w:val="sr-Cyrl-RS"/>
        </w:rPr>
        <w:t>посебним условима за евидентирање и упис права на непокретностима</w:t>
      </w:r>
    </w:p>
    <w:p w14:paraId="73C3FCF9" w14:textId="77777777" w:rsidR="00EC2070" w:rsidRPr="00AB7058" w:rsidRDefault="00EC2070" w:rsidP="00EC2070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  <w:lang w:val="en" w:eastAsia="sr-Latn-BA"/>
        </w:rPr>
      </w:pPr>
    </w:p>
    <w:p w14:paraId="0C0C6A3C" w14:textId="4036CE16" w:rsidR="00EC2070" w:rsidRDefault="00EC2070" w:rsidP="00EC2070">
      <w:pPr>
        <w:jc w:val="both"/>
        <w:rPr>
          <w:lang w:val="en" w:eastAsia="sr-Latn-BA"/>
        </w:rPr>
      </w:pPr>
      <w:r w:rsidRPr="00EC2070">
        <w:rPr>
          <w:lang w:val="en" w:eastAsia="sr-Latn-BA"/>
        </w:rPr>
        <w:t>Draft law on special conditions for recording and registering rights to real estate</w:t>
      </w:r>
    </w:p>
    <w:p w14:paraId="118CF52A" w14:textId="77777777" w:rsidR="00EC2070" w:rsidRPr="00FD6EF0" w:rsidRDefault="00EC2070" w:rsidP="00EC2070">
      <w:pPr>
        <w:jc w:val="both"/>
        <w:rPr>
          <w:lang w:val="sr-Cyrl-CS"/>
        </w:rPr>
      </w:pPr>
    </w:p>
    <w:p w14:paraId="535433A5" w14:textId="77777777" w:rsidR="00EC2070" w:rsidRPr="0081718F" w:rsidRDefault="00EC2070" w:rsidP="00EC2070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  <w:r>
        <w:rPr>
          <w:lang w:val="sr-Cyrl-CS"/>
        </w:rPr>
        <w:t>:</w:t>
      </w:r>
    </w:p>
    <w:p w14:paraId="604E3574" w14:textId="77777777" w:rsidR="00EC2070" w:rsidRPr="0081718F" w:rsidRDefault="00EC2070" w:rsidP="00EC2070">
      <w:pPr>
        <w:jc w:val="both"/>
        <w:rPr>
          <w:lang w:val="sr-Cyrl-CS"/>
        </w:rPr>
      </w:pPr>
    </w:p>
    <w:p w14:paraId="33658E4A" w14:textId="77777777" w:rsidR="00EC2070" w:rsidRPr="00AF0F85" w:rsidRDefault="00EC2070" w:rsidP="00EC2070">
      <w:pPr>
        <w:jc w:val="both"/>
        <w:rPr>
          <w:lang w:val="en-US"/>
        </w:rPr>
      </w:pPr>
      <w:r w:rsidRPr="0081718F">
        <w:rPr>
          <w:lang w:val="sr-Cyrl-CS"/>
        </w:rPr>
        <w:t>а) Одредба Споразума и Прелазног споразума која се односе на нормативну саржину прописа</w:t>
      </w:r>
    </w:p>
    <w:p w14:paraId="5A107CFB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459789B1" w14:textId="77777777" w:rsidR="00EC2070" w:rsidRDefault="00EC2070" w:rsidP="00EC2070">
      <w:pPr>
        <w:jc w:val="both"/>
        <w:rPr>
          <w:lang w:val="sr-Cyrl-C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 и Прелазног споразума</w:t>
      </w:r>
    </w:p>
    <w:p w14:paraId="618A2357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0B7AAADB" w14:textId="77777777" w:rsidR="00EC2070" w:rsidRDefault="00EC2070" w:rsidP="00EC2070">
      <w:pPr>
        <w:jc w:val="both"/>
        <w:rPr>
          <w:lang w:val="sr-Latn-RS"/>
        </w:rPr>
      </w:pPr>
    </w:p>
    <w:p w14:paraId="7BF95CC3" w14:textId="77777777" w:rsidR="00EC2070" w:rsidRDefault="00EC2070" w:rsidP="00EC2070">
      <w:pPr>
        <w:jc w:val="both"/>
        <w:rPr>
          <w:lang w:val="sr-Cyrl-C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 и Прелазног споразума</w:t>
      </w:r>
    </w:p>
    <w:p w14:paraId="28689070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4E79EC3B" w14:textId="77777777" w:rsidR="00EC2070" w:rsidRPr="0081718F" w:rsidRDefault="00EC2070" w:rsidP="00EC2070">
      <w:pPr>
        <w:jc w:val="both"/>
        <w:rPr>
          <w:lang w:val="sr-Cyrl-CS"/>
        </w:rPr>
      </w:pPr>
    </w:p>
    <w:p w14:paraId="36688194" w14:textId="77777777" w:rsidR="00EC2070" w:rsidRDefault="00EC2070" w:rsidP="00EC2070">
      <w:pPr>
        <w:jc w:val="both"/>
        <w:rPr>
          <w:lang w:val="sr-Cyrl-C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</w:p>
    <w:p w14:paraId="623FE50D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48431F34" w14:textId="77777777" w:rsidR="00EC2070" w:rsidRPr="0081718F" w:rsidRDefault="00EC2070" w:rsidP="00EC2070">
      <w:pPr>
        <w:jc w:val="both"/>
        <w:rPr>
          <w:lang w:val="sr-Cyrl-CS"/>
        </w:rPr>
      </w:pPr>
    </w:p>
    <w:p w14:paraId="5210F4EB" w14:textId="77777777" w:rsidR="00EC2070" w:rsidRPr="0081718F" w:rsidRDefault="00EC2070" w:rsidP="00EC2070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</w:p>
    <w:p w14:paraId="6F90ABD7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1C1D5A75" w14:textId="77777777" w:rsidR="00EC2070" w:rsidRDefault="00EC2070" w:rsidP="00EC2070">
      <w:pPr>
        <w:jc w:val="center"/>
        <w:rPr>
          <w:lang w:val="sr-Cyrl-RS"/>
        </w:rPr>
      </w:pPr>
    </w:p>
    <w:p w14:paraId="2D23FE04" w14:textId="77777777" w:rsidR="00EC2070" w:rsidRPr="0081718F" w:rsidRDefault="00EC2070" w:rsidP="00EC2070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14:paraId="58D4AC2E" w14:textId="77777777" w:rsidR="00EC2070" w:rsidRPr="0081718F" w:rsidRDefault="00EC2070" w:rsidP="00EC2070">
      <w:pPr>
        <w:jc w:val="both"/>
      </w:pPr>
    </w:p>
    <w:p w14:paraId="71DE3A8C" w14:textId="77777777" w:rsidR="00EC2070" w:rsidRDefault="00EC2070" w:rsidP="00EC2070">
      <w:pPr>
        <w:jc w:val="both"/>
        <w:rPr>
          <w:lang w:val="sr-Cyrl-CS"/>
        </w:rPr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rPr>
          <w:lang w:val="sr-Cyrl-RS"/>
        </w:rPr>
        <w:t>вропске уније</w:t>
      </w:r>
      <w:r w:rsidRPr="0081718F">
        <w:rPr>
          <w:lang w:val="sr-Cyrl-CS"/>
        </w:rPr>
        <w:t xml:space="preserve"> и оцене усклађености са њима</w:t>
      </w:r>
    </w:p>
    <w:p w14:paraId="757904E4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3EBD9EBB" w14:textId="77777777" w:rsidR="00EC2070" w:rsidRDefault="00EC2070" w:rsidP="00EC2070">
      <w:pPr>
        <w:jc w:val="both"/>
      </w:pPr>
    </w:p>
    <w:p w14:paraId="0B7F482D" w14:textId="77777777" w:rsidR="00EC2070" w:rsidRDefault="00EC2070" w:rsidP="00EC2070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</w:p>
    <w:p w14:paraId="2D008A77" w14:textId="77777777" w:rsidR="00EC2070" w:rsidRDefault="00EC2070" w:rsidP="00EC2070">
      <w:pPr>
        <w:jc w:val="center"/>
        <w:rPr>
          <w:color w:val="FF0000"/>
          <w:lang w:val="sr-Cyrl-RS"/>
        </w:rPr>
      </w:pPr>
    </w:p>
    <w:p w14:paraId="08CCBFD7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31E84EF5" w14:textId="77777777" w:rsidR="00EC2070" w:rsidRPr="00FD6EF0" w:rsidRDefault="00EC2070" w:rsidP="00EC2070">
      <w:pPr>
        <w:jc w:val="both"/>
        <w:rPr>
          <w:lang w:val="sr-Cyrl-CS"/>
        </w:rPr>
      </w:pPr>
    </w:p>
    <w:p w14:paraId="3829DB28" w14:textId="77777777" w:rsidR="00EC2070" w:rsidRDefault="00EC2070" w:rsidP="00EC2070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sr-Cyrl-CS"/>
        </w:rPr>
        <w:t>о</w:t>
      </w:r>
      <w:r w:rsidRPr="0081718F">
        <w:rPr>
          <w:lang w:val="sr-Cyrl-CS"/>
        </w:rPr>
        <w:t>ст са њима</w:t>
      </w:r>
    </w:p>
    <w:p w14:paraId="38C95251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1E67BD87" w14:textId="77777777" w:rsidR="00EC2070" w:rsidRPr="0081718F" w:rsidRDefault="00EC2070" w:rsidP="00EC2070">
      <w:pPr>
        <w:jc w:val="both"/>
        <w:rPr>
          <w:lang w:val="sr-Cyrl-CS"/>
        </w:rPr>
      </w:pPr>
    </w:p>
    <w:p w14:paraId="0CDE9E31" w14:textId="77777777" w:rsidR="00EC2070" w:rsidRDefault="00EC2070" w:rsidP="00EC2070">
      <w:pPr>
        <w:jc w:val="both"/>
        <w:rPr>
          <w:lang w:val="sr-Cyrl-RS"/>
        </w:rPr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</w:p>
    <w:p w14:paraId="53676F7A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422C8592" w14:textId="77777777" w:rsidR="00EC2070" w:rsidRPr="000745C6" w:rsidRDefault="00EC2070" w:rsidP="00EC2070">
      <w:pPr>
        <w:jc w:val="both"/>
        <w:rPr>
          <w:lang w:val="sr-Cyrl-RS"/>
        </w:rPr>
      </w:pPr>
    </w:p>
    <w:p w14:paraId="410CFB3F" w14:textId="77777777" w:rsidR="00EC2070" w:rsidRDefault="00EC2070" w:rsidP="00EC2070">
      <w:pPr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</w:p>
    <w:p w14:paraId="2A0F651F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Нема</w:t>
      </w:r>
    </w:p>
    <w:p w14:paraId="2BA729CF" w14:textId="77777777" w:rsidR="00EC2070" w:rsidRPr="0081718F" w:rsidRDefault="00EC2070" w:rsidP="00EC2070">
      <w:pPr>
        <w:jc w:val="both"/>
        <w:rPr>
          <w:i/>
          <w:lang w:val="sr-Cyrl-CS"/>
        </w:rPr>
      </w:pPr>
    </w:p>
    <w:p w14:paraId="46FBB1FB" w14:textId="77777777" w:rsidR="00EC2070" w:rsidRDefault="00EC2070" w:rsidP="00EC2070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  <w:r w:rsidRPr="0081718F">
        <w:rPr>
          <w:color w:val="000000"/>
          <w:lang w:val="ru-RU"/>
        </w:rPr>
        <w:t xml:space="preserve"> </w:t>
      </w:r>
    </w:p>
    <w:p w14:paraId="40E7C479" w14:textId="77777777" w:rsidR="00EC2070" w:rsidRDefault="00EC2070" w:rsidP="00EC2070">
      <w:pPr>
        <w:jc w:val="both"/>
        <w:rPr>
          <w:color w:val="000000"/>
          <w:lang w:val="ru-RU"/>
        </w:rPr>
      </w:pPr>
    </w:p>
    <w:p w14:paraId="16692B14" w14:textId="77777777" w:rsidR="00EC2070" w:rsidRPr="00FD6EF0" w:rsidRDefault="00EC2070" w:rsidP="00EC2070">
      <w:pPr>
        <w:jc w:val="both"/>
        <w:rPr>
          <w:lang w:val="ru-RU"/>
        </w:rPr>
      </w:pPr>
      <w:r w:rsidRPr="00FD6EF0">
        <w:rPr>
          <w:lang w:val="ru-RU"/>
        </w:rPr>
        <w:t>Не постоје одговарајући секундарни извори права Европске уније са којима је потребно обезбедити усклађеност.</w:t>
      </w:r>
    </w:p>
    <w:p w14:paraId="5BA65EED" w14:textId="77777777" w:rsidR="00EC2070" w:rsidRPr="0081718F" w:rsidRDefault="00EC2070" w:rsidP="00EC2070">
      <w:pPr>
        <w:jc w:val="both"/>
        <w:rPr>
          <w:lang w:val="sr-Cyrl-CS"/>
        </w:rPr>
      </w:pPr>
    </w:p>
    <w:p w14:paraId="1894A0F0" w14:textId="77777777" w:rsidR="00EC2070" w:rsidRDefault="00EC2070" w:rsidP="00EC2070">
      <w:pPr>
        <w:jc w:val="both"/>
        <w:rPr>
          <w:lang w:val="sr-Cyrl-RS"/>
        </w:rPr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14:paraId="18EECDD0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/</w:t>
      </w:r>
    </w:p>
    <w:p w14:paraId="1C5A6800" w14:textId="77777777" w:rsidR="00EC2070" w:rsidRPr="0081718F" w:rsidRDefault="00EC2070" w:rsidP="00EC2070">
      <w:pPr>
        <w:jc w:val="both"/>
      </w:pPr>
    </w:p>
    <w:p w14:paraId="53548DC2" w14:textId="77777777" w:rsidR="00EC2070" w:rsidRDefault="00EC2070" w:rsidP="00EC2070">
      <w:pPr>
        <w:jc w:val="both"/>
        <w:rPr>
          <w:lang w:val="sr-Cyrl-RS"/>
        </w:rPr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 w:rsidRPr="0081718F">
        <w:t>?</w:t>
      </w:r>
    </w:p>
    <w:p w14:paraId="6DCF296F" w14:textId="77777777" w:rsidR="00EC2070" w:rsidRPr="00FD6EF0" w:rsidRDefault="00EC2070" w:rsidP="00EC2070">
      <w:pPr>
        <w:jc w:val="center"/>
        <w:rPr>
          <w:lang w:val="sr-Cyrl-RS"/>
        </w:rPr>
      </w:pPr>
      <w:r w:rsidRPr="00FD6EF0">
        <w:rPr>
          <w:lang w:val="sr-Cyrl-RS"/>
        </w:rPr>
        <w:t>Не</w:t>
      </w:r>
    </w:p>
    <w:p w14:paraId="3F757EFC" w14:textId="77777777" w:rsidR="00EC2070" w:rsidRPr="0081718F" w:rsidRDefault="00EC2070" w:rsidP="00EC2070">
      <w:pPr>
        <w:jc w:val="both"/>
      </w:pPr>
    </w:p>
    <w:p w14:paraId="19956689" w14:textId="77777777" w:rsidR="00EC2070" w:rsidRDefault="00EC2070" w:rsidP="00EC2070">
      <w:pPr>
        <w:jc w:val="both"/>
        <w:rPr>
          <w:lang w:val="sr-Cyrl-RS"/>
        </w:rPr>
      </w:pPr>
      <w:r w:rsidRPr="0081718F">
        <w:rPr>
          <w:lang w:val="sr-Cyrl-CS"/>
        </w:rPr>
        <w:t>8</w:t>
      </w:r>
      <w:r w:rsidRPr="0081718F">
        <w:t xml:space="preserve">. </w:t>
      </w:r>
      <w:r w:rsidRPr="0081718F">
        <w:rPr>
          <w:lang w:val="sr-Cyrl-CS"/>
        </w:rPr>
        <w:t>Учешће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</w:p>
    <w:p w14:paraId="138B5935" w14:textId="77777777" w:rsidR="00EC2070" w:rsidRPr="00FD6EF0" w:rsidRDefault="00EC2070" w:rsidP="00EC2070">
      <w:pPr>
        <w:jc w:val="both"/>
        <w:rPr>
          <w:lang w:val="sr-Cyrl-RS"/>
        </w:rPr>
      </w:pPr>
    </w:p>
    <w:p w14:paraId="63EA0C03" w14:textId="3C0CF093" w:rsidR="00EC2070" w:rsidRPr="00FD6EF0" w:rsidRDefault="00EC2070" w:rsidP="00EC2070">
      <w:pPr>
        <w:jc w:val="both"/>
        <w:rPr>
          <w:lang w:val="sr-Cyrl-RS"/>
        </w:rPr>
      </w:pPr>
      <w:r w:rsidRPr="00FD6EF0">
        <w:rPr>
          <w:lang w:val="sr-Cyrl-RS"/>
        </w:rPr>
        <w:t xml:space="preserve">У изради </w:t>
      </w:r>
      <w:r w:rsidR="00B15033">
        <w:rPr>
          <w:lang w:val="sr-Cyrl-RS"/>
        </w:rPr>
        <w:t>овог</w:t>
      </w:r>
      <w:r>
        <w:rPr>
          <w:lang w:val="sr-Cyrl-RS"/>
        </w:rPr>
        <w:t xml:space="preserve"> закона </w:t>
      </w:r>
      <w:r w:rsidRPr="00FD6EF0">
        <w:rPr>
          <w:lang w:val="sr-Cyrl-RS"/>
        </w:rPr>
        <w:t>нису учествовали консултанти.</w:t>
      </w:r>
    </w:p>
    <w:p w14:paraId="24DBAD0D" w14:textId="77777777" w:rsidR="00EC2070" w:rsidRDefault="00EC2070" w:rsidP="00EC2070">
      <w:pPr>
        <w:shd w:val="clear" w:color="auto" w:fill="FFFFFF"/>
        <w:rPr>
          <w:lang w:val="sr-Latn-RS"/>
        </w:rPr>
      </w:pPr>
    </w:p>
    <w:p w14:paraId="69D56945" w14:textId="77777777" w:rsidR="00D43430" w:rsidRDefault="00D43430"/>
    <w:sectPr w:rsidR="00D43430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2D9A1" w14:textId="77777777" w:rsidR="00B37681" w:rsidRDefault="00B37681">
      <w:r>
        <w:separator/>
      </w:r>
    </w:p>
  </w:endnote>
  <w:endnote w:type="continuationSeparator" w:id="0">
    <w:p w14:paraId="0AEEFDA6" w14:textId="77777777" w:rsidR="00B37681" w:rsidRDefault="00B3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B4033" w14:textId="77777777" w:rsidR="000E246D" w:rsidRDefault="00EC20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EABAFF" w14:textId="77777777" w:rsidR="000E246D" w:rsidRDefault="00B376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0CD9A" w14:textId="10832123" w:rsidR="000E246D" w:rsidRDefault="00EC20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D2FD9">
      <w:rPr>
        <w:rStyle w:val="PageNumber"/>
        <w:noProof/>
      </w:rPr>
      <w:t>1</w:t>
    </w:r>
    <w:r>
      <w:rPr>
        <w:rStyle w:val="PageNumber"/>
      </w:rPr>
      <w:fldChar w:fldCharType="end"/>
    </w:r>
  </w:p>
  <w:p w14:paraId="728C4A4F" w14:textId="77777777" w:rsidR="000E246D" w:rsidRDefault="00B3768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95417" w14:textId="77777777" w:rsidR="00B37681" w:rsidRDefault="00B37681">
      <w:r>
        <w:separator/>
      </w:r>
    </w:p>
  </w:footnote>
  <w:footnote w:type="continuationSeparator" w:id="0">
    <w:p w14:paraId="1C315A0A" w14:textId="77777777" w:rsidR="00B37681" w:rsidRDefault="00B37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70"/>
    <w:rsid w:val="001D2FD9"/>
    <w:rsid w:val="003716F6"/>
    <w:rsid w:val="003A55F6"/>
    <w:rsid w:val="00B10661"/>
    <w:rsid w:val="00B15033"/>
    <w:rsid w:val="00B37681"/>
    <w:rsid w:val="00D43430"/>
    <w:rsid w:val="00EC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55D24"/>
  <w15:chartTrackingRefBased/>
  <w15:docId w15:val="{DA78071F-8A67-4358-B9D2-7BD459DB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EC2070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EC2070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EC2070"/>
  </w:style>
  <w:style w:type="paragraph" w:styleId="Footer">
    <w:name w:val="footer"/>
    <w:basedOn w:val="Normal"/>
    <w:link w:val="FooterChar"/>
    <w:rsid w:val="00EC20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C2070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HeadCir">
    <w:name w:val="HeadCir"/>
    <w:basedOn w:val="Normal"/>
    <w:rsid w:val="00EC2070"/>
    <w:rPr>
      <w:rFonts w:ascii="TimesC DzComm" w:eastAsia="MS Mincho" w:hAnsi="TimesC DzComm" w:cs="Arial"/>
      <w:szCs w:val="22"/>
      <w:lang w:val="en-US" w:eastAsia="en-US"/>
    </w:rPr>
  </w:style>
  <w:style w:type="paragraph" w:styleId="NoSpacing">
    <w:name w:val="No Spacing"/>
    <w:uiPriority w:val="1"/>
    <w:qFormat/>
    <w:rsid w:val="00EC2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TMLPreformatted">
    <w:name w:val="HTML Preformatted"/>
    <w:basedOn w:val="Normal"/>
    <w:link w:val="HTMLPreformattedChar"/>
    <w:rsid w:val="00EC2070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EC2070"/>
    <w:rPr>
      <w:rFonts w:ascii="Courier New" w:eastAsia="Times New Roman" w:hAnsi="Courier New" w:cs="Courier New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2582</Characters>
  <Application>Microsoft Office Word</Application>
  <DocSecurity>0</DocSecurity>
  <Lines>21</Lines>
  <Paragraphs>6</Paragraphs>
  <ScaleCrop>false</ScaleCrop>
  <Company>MGSI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Mihajlovic</dc:creator>
  <cp:keywords/>
  <dc:description/>
  <cp:lastModifiedBy>Snezana Marinovic</cp:lastModifiedBy>
  <cp:revision>4</cp:revision>
  <cp:lastPrinted>2025-09-29T06:01:00Z</cp:lastPrinted>
  <dcterms:created xsi:type="dcterms:W3CDTF">2025-09-23T14:54:00Z</dcterms:created>
  <dcterms:modified xsi:type="dcterms:W3CDTF">2025-09-29T06:01:00Z</dcterms:modified>
</cp:coreProperties>
</file>